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Convention d’étude</w:t>
      </w:r>
    </w:p>
    <w:p>
      <w:pPr>
        <w:pStyle w:val="Subtitle"/>
      </w:pPr>
      <w:r>
        <w:t xml:space="preserve">Refonte du site vitrine</w:t>
        <w:t xml:space="preserve">  ·  Référence </w:t>
        <w:t xml:space="preserve">ETU-2026-039</w:t>
        <w:t xml:space="preserve"/>
      </w:r>
    </w:p>
    <w:p>
      <w:pPr>
        <w:pStyle w:val="Heading1"/>
      </w:pPr>
      <w:r>
        <w:t xml:space="preserve">Entre les soussignés</w:t>
      </w:r>
    </w:p>
    <w:p>
      <w:pPr>
        <w:jc w:val="both"/>
      </w:pPr>
      <w:r>
        <w:rPr>
          <w:b/>
        </w:rPr>
        <w:t xml:space="preserve">Atelier Marlin</w:t>
        <w:t xml:space="preserve"/>
      </w:r>
      <w:r>
        <w:t xml:space="preserve">, dont le siège est situé </w:t>
        <w:t xml:space="preserve">4 rue du Port, 44600 Saint-Nazaire</w:t>
        <w:t xml:space="preserve">, SIRET </w:t>
        <w:t xml:space="preserve">901 234 567 00021</w:t>
        <w:t xml:space="preserve">, représentée par </w:t>
        <w:t xml:space="preserve">Monsieur</w:t>
        <w:t xml:space="preserve"> </w:t>
        <w:t xml:space="preserve">Julien Marlin</w:t>
        <w:t xml:space="preserve">, en qualité de </w:t>
        <w:t xml:space="preserve">fondateur</w:t>
        <w:t xml:space="preserve">, dûment habilité</w:t>
        <w:t xml:space="preserve">, ci-après dénommée « le Client »,</w:t>
      </w:r>
    </w:p>
    <w:p>
      <w:pPr>
        <w:jc w:val="both"/>
      </w:pPr>
      <w:r>
        <w:t xml:space="preserve">et</w:t>
      </w:r>
    </w:p>
    <w:p>
      <w:pPr>
        <w:jc w:val="both"/>
      </w:pPr>
      <w:r>
        <w:rPr>
          <w:b/>
        </w:rPr>
        <w:t xml:space="preserve">Junior Conseil Nantes</w:t>
        <w:t xml:space="preserve"/>
      </w:r>
      <w:r>
        <w:t xml:space="preserve">, association loi 1901 dont le siège est situé </w:t>
        <w:t xml:space="preserve">2 rue de la Loire, 44000 Nantes</w:t>
        <w:t xml:space="preserve">, SIRET </w:t>
        <w:t xml:space="preserve">908 765 432 00017</w:t>
        <w:t xml:space="preserve">, représentée par son président, </w:t>
        <w:t xml:space="preserve">Camille Moreau</w:t>
        <w:t xml:space="preserve">, ci-après dénommée « la Junior-Entreprise ».</w:t>
      </w:r>
    </w:p>
    <w:p>
      <w:pPr>
        <w:pStyle w:val="Heading1"/>
      </w:pPr>
      <w:r>
        <w:t xml:space="preserve">Article 1. Objet de l’étude</w:t>
      </w:r>
    </w:p>
    <w:p>
      <w:pPr>
        <w:jc w:val="both"/>
      </w:pPr>
      <w:r>
        <w:t xml:space="preserve">Le Client confie à la Junior-Entreprise, qui l’accepte, la réalisation de l’étude « </w:t>
        <w:t xml:space="preserve">Refonte du site vitrine</w:t>
        <w:t xml:space="preserve"> ». Ses objectifs sont les suivants :</w:t>
      </w:r>
    </w:p>
    <w:p>
      <w:pPr>
        <w:ind w:left="360"/>
        <w:jc w:val="both"/>
      </w:pPr>
      <w:r>
        <w:rPr>
          <w:i/>
        </w:rPr>
        <w:t xml:space="preserve">Refondre le site vitrine de l’atelier pour qu’il présente l’ensemble des réalisations, s’affiche correctement sur téléphone et permette de demander un devis en ligne.</w:t>
        <w:t xml:space="preserve"/>
      </w:r>
    </w:p>
    <w:p>
      <w:pPr>
        <w:pStyle w:val="Heading1"/>
      </w:pPr>
      <w:r>
        <w:t xml:space="preserve">Article 2. Livrables</w:t>
      </w:r>
    </w:p>
    <w:p>
      <w:pPr>
        <w:jc w:val="both"/>
      </w:pPr>
      <w:r>
        <w:t xml:space="preserve">Un compte rendu des entretiens, les maquettes validées des six pages clés, le site en ligne et un guide de mise à jour du contenu.</w:t>
        <w:t xml:space="preserve"/>
      </w:r>
    </w:p>
    <w:p>
      <w:pPr>
        <w:pStyle w:val="Heading1"/>
      </w:pPr>
      <w:r>
        <w:t xml:space="preserve">Article 3. Déroulement</w:t>
      </w:r>
    </w:p>
    <w:p>
      <w:pPr>
        <w:keepNext/>
        <w:jc w:val="both"/>
      </w:pPr>
      <w:r>
        <w:t xml:space="preserve">L’étude débute le </w:t>
        <w:t xml:space="preserve">5 octobre 2026</w:t>
        <w:t xml:space="preserve"> et s’achève le </w:t>
        <w:t xml:space="preserve">11 décembre 2026</w:t>
        <w:t xml:space="preserve">, soit une durée de </w:t>
        <w:t xml:space="preserve">dix (10)</w:t>
        <w:t xml:space="preserve"> semaine</w:t>
        <w:t xml:space="preserve">s</w:t>
        <w:t xml:space="preserve">. Elle se déroule selon les phases suivantes :</w:t>
      </w:r>
    </w:p>
    <w:tbl>
      <w:tblPr>
        <w:tblW w:w="9638" w:type="dxa"/>
        <w:tblBorders>
          <w:top w:val="single" w:sz="4" w:space="0" w:color="C9D2DE"/>
          <w:left w:val="single" w:sz="4" w:space="0" w:color="C9D2DE"/>
          <w:bottom w:val="single" w:sz="4" w:space="0" w:color="C9D2DE"/>
          <w:right w:val="single" w:sz="4" w:space="0" w:color="C9D2DE"/>
          <w:insideH w:val="single" w:sz="4" w:space="0" w:color="C9D2DE"/>
          <w:insideV w:val="single" w:sz="4" w:space="0" w:color="C9D2DE"/>
        </w:tblBorders>
        <w:tblLayout w:type="fixed"/>
        <w:tblCellMar>
          <w:left w:w="100" w:type="dxa"/>
          <w:right w:w="100" w:type="dxa"/>
        </w:tblCellMar>
      </w:tblPr>
      <w:tblGrid>
        <w:gridCol w:w="900"/>
        <w:gridCol w:w="5238"/>
        <w:gridCol w:w="1300"/>
        <w:gridCol w:w="2200"/>
      </w:tblGrid>
      <w:tr>
        <w:trPr>
          <w:tblHeader/>
          <w:cantSplit/>
        </w:trPr>
        <w:tc>
          <w:tcPr>
            <w:tcW w:w="900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N°</w:t>
            </w:r>
          </w:p>
        </w:tc>
        <w:tc>
          <w:tcPr>
            <w:tcW w:w="5238" w:type="dxa"/>
            <w:shd w:val="clear" w:color="auto" w:fill="1F3A5F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  <w:color w:val="FFFFFF"/>
              </w:rPr>
              <w:t xml:space="preserve">Phase</w:t>
            </w:r>
          </w:p>
        </w:tc>
        <w:tc>
          <w:tcPr>
            <w:tcW w:w="13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JEH</w:t>
            </w:r>
          </w:p>
        </w:tc>
        <w:tc>
          <w:tcPr>
            <w:tcW w:w="2200" w:type="dxa"/>
            <w:shd w:val="clear" w:color="auto" w:fill="1F3A5F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  <w:color w:val="FFFFFF"/>
              </w:rPr>
              <w:t xml:space="preserve">Montant HT</w:t>
            </w:r>
          </w:p>
        </w:tc>
      </w:tr>
      <w:tr>
        <w:trPr>
          <w:cantSplit/>
        </w:trPr>
        <w:tc>
          <w:tcPr>
            <w:tcW w:w="9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1</w:t>
              <w:t xml:space="preserve"/>
              <w:t xml:space="preserve"/>
            </w:r>
          </w:p>
        </w:tc>
        <w:tc>
          <w:tcPr>
            <w:tcW w:w="5238" w:type="dxa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</w:rPr>
              <w:t xml:space="preserve">Ateliers UX</w:t>
              <w:t xml:space="preserve"/>
              <w:t xml:space="preserve"/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3,00</w:t>
              <w:t xml:space="preserve"/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1 350,00 €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9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1.1</w:t>
              <w:t xml:space="preserve"/>
              <w:t xml:space="preserve"/>
            </w:r>
          </w:p>
        </w:tc>
        <w:tc>
          <w:tcPr>
            <w:tcW w:w="52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>      </w:t>
            </w:r>
            <w:r>
              <w:rPr>
                <w:i/>
                <w:color w:val="5F6B7A"/>
              </w:rPr>
              <w:t xml:space="preserve">Entretiens utilisateurs</w:t>
              <w:t xml:space="preserve"/>
              <w:t xml:space="preserve"/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2,00</w:t>
              <w:t xml:space="preserve"/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900,00 €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9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1.2</w:t>
              <w:t xml:space="preserve"/>
              <w:t xml:space="preserve"/>
            </w:r>
          </w:p>
        </w:tc>
        <w:tc>
          <w:tcPr>
            <w:tcW w:w="52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>      </w:t>
            </w:r>
            <w:r>
              <w:rPr>
                <w:i/>
                <w:color w:val="5F6B7A"/>
              </w:rPr>
              <w:t xml:space="preserve">Atelier de co-conception</w:t>
              <w:t xml:space="preserve"/>
              <w:t xml:space="preserve"/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1,00</w:t>
              <w:t xml:space="preserve"/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450,00 €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9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2</w:t>
              <w:t xml:space="preserve"/>
              <w:t xml:space="preserve"/>
            </w:r>
          </w:p>
        </w:tc>
        <w:tc>
          <w:tcPr>
            <w:tcW w:w="5238" w:type="dxa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</w:rPr>
              <w:t xml:space="preserve">Maquettes</w:t>
              <w:t xml:space="preserve"/>
              <w:t xml:space="preserve"/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3,00</w:t>
              <w:t xml:space="preserve"/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1 350,00 €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9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3</w:t>
              <w:t xml:space="preserve"/>
              <w:t xml:space="preserve"/>
            </w:r>
          </w:p>
        </w:tc>
        <w:tc>
          <w:tcPr>
            <w:tcW w:w="5238" w:type="dxa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</w:rPr>
              <w:t xml:space="preserve">Intégration</w:t>
              <w:t xml:space="preserve"/>
              <w:t xml:space="preserve"/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6,00</w:t>
              <w:t xml:space="preserve"/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2 700,00 €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9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3.1</w:t>
              <w:t xml:space="preserve"/>
              <w:t xml:space="preserve"/>
            </w:r>
          </w:p>
        </w:tc>
        <w:tc>
          <w:tcPr>
            <w:tcW w:w="52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>      </w:t>
            </w:r>
            <w:r>
              <w:rPr>
                <w:i/>
                <w:color w:val="5F6B7A"/>
              </w:rPr>
              <w:t xml:space="preserve">Développement des gabarits</w:t>
              <w:t xml:space="preserve"/>
              <w:t xml:space="preserve"/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4,00</w:t>
              <w:t xml:space="preserve"/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1 800,00 €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900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/>
            </w:r>
            <w:r>
              <w:t xml:space="preserve">3.2</w:t>
              <w:t xml:space="preserve"/>
              <w:t xml:space="preserve"/>
            </w:r>
          </w:p>
        </w:tc>
        <w:tc>
          <w:tcPr>
            <w:tcW w:w="5238" w:type="dxa"/>
            <w:vAlign w:val="center"/>
          </w:tcPr>
          <w:p>
            <w:pPr>
              <w:spacing w:before="60" w:after="60"/>
              <w:jc w:val="left"/>
            </w:pPr>
            <w:r>
              <w:t xml:space="preserve"/>
              <w:t xml:space="preserve">      </w:t>
            </w:r>
            <w:r>
              <w:rPr>
                <w:i/>
                <w:color w:val="5F6B7A"/>
              </w:rPr>
              <w:t xml:space="preserve">Recette et mise en ligne</w:t>
              <w:t xml:space="preserve"/>
              <w:t xml:space="preserve"/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2,00</w:t>
              <w:t xml:space="preserve"/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60" w:after="60"/>
              <w:jc w:val="right"/>
            </w:pPr>
            <w:r>
              <w:t xml:space="preserve">900,00 €</w:t>
              <w:t xml:space="preserve"/>
              <w:t xml:space="preserve"/>
            </w:r>
            <w:r>
              <w:t xml:space="preserve"/>
              <w:t xml:space="preserve"/>
            </w:r>
          </w:p>
        </w:tc>
      </w:tr>
      <w:tr>
        <w:trPr>
          <w:cantSplit/>
        </w:trPr>
        <w:tc>
          <w:tcPr>
            <w:tcW w:w="900" w:type="dxa"/>
            <w:shd w:val="clear" w:color="auto" w:fill="EEF2F7"/>
            <w:vAlign w:val="center"/>
          </w:tcPr>
          <w:p>
            <w:pPr>
              <w:spacing w:before="60" w:after="60"/>
              <w:jc w:val="left"/>
            </w:pPr>
          </w:p>
        </w:tc>
        <w:tc>
          <w:tcPr>
            <w:tcW w:w="5238" w:type="dxa"/>
            <w:shd w:val="clear" w:color="auto" w:fill="EEF2F7"/>
            <w:vAlign w:val="center"/>
          </w:tcPr>
          <w:p>
            <w:pPr>
              <w:spacing w:before="60" w:after="60"/>
              <w:jc w:val="left"/>
            </w:pPr>
            <w:r>
              <w:rPr>
                <w:b/>
              </w:rPr>
              <w:t xml:space="preserve">Total</w:t>
            </w:r>
          </w:p>
        </w:tc>
        <w:tc>
          <w:tcPr>
            <w:tcW w:w="13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</w:rPr>
              <w:t xml:space="preserve">12</w:t>
              <w:t xml:space="preserve"/>
            </w:r>
          </w:p>
        </w:tc>
        <w:tc>
          <w:tcPr>
            <w:tcW w:w="2200" w:type="dxa"/>
            <w:shd w:val="clear" w:color="auto" w:fill="EEF2F7"/>
            <w:vAlign w:val="center"/>
          </w:tcPr>
          <w:p>
            <w:pPr>
              <w:spacing w:before="60" w:after="60"/>
              <w:jc w:val="right"/>
            </w:pPr>
            <w:r>
              <w:rPr>
                <w:b/>
              </w:rPr>
              <w:t xml:space="preserve">5 400,00 €</w:t>
              <w:t xml:space="preserve"/>
            </w:r>
          </w:p>
        </w:tc>
      </w:tr>
    </w:tbl>
    <w:p>
      <w:pPr>
        <w:spacing w:after="60"/>
      </w:pPr>
    </w:p>
    <w:p>
      <w:pPr>
        <w:jc w:val="both"/>
      </w:pPr>
      <w:r>
        <w:rPr>
          <w:color w:val="5F6B7A"/>
          <w:sz w:val="18"/>
          <w:szCs w:val="18"/>
        </w:rPr>
        <w:t xml:space="preserve">Le JEH (jour-étude homme) est l’unité de travail d’une étude. Une phase découpée en sous-phases indique leur total.</w:t>
      </w:r>
    </w:p>
    <w:p>
      <w:pPr>
        <w:pStyle w:val="Heading1"/>
      </w:pPr>
      <w:r>
        <w:t xml:space="preserve">Article 4. Prix</w:t>
      </w:r>
    </w:p>
    <w:p>
      <w:pPr>
        <w:jc w:val="both"/>
      </w:pPr>
      <w:r>
        <w:t xml:space="preserve">Le prix de l’étude est fixé à </w:t>
      </w:r>
      <w:r>
        <w:rPr>
          <w:b/>
        </w:rPr>
        <w:t xml:space="preserve">5 400,00 €</w:t>
        <w:t xml:space="preserve"/>
      </w:r>
      <w:r>
        <w:t xml:space="preserve"> hors taxes (</w:t>
        <w:t xml:space="preserve">cinq mille quatre cents euros</w:t>
        <w:t xml:space="preserve">). La TVA au taux de </w:t>
        <w:t xml:space="preserve">20 %</w:t>
        <w:t xml:space="preserve"> s’y ajoute, soit </w:t>
      </w:r>
      <w:r>
        <w:rPr>
          <w:b/>
        </w:rPr>
        <w:t xml:space="preserve">6 480,00 €</w:t>
        <w:t xml:space="preserve"/>
      </w:r>
      <w:r>
        <w:t xml:space="preserve"> toutes taxes comprises.</w:t>
      </w:r>
    </w:p>
    <w:p>
      <w:pPr>
        <w:pStyle w:val="Heading1"/>
      </w:pPr>
      <w:r>
        <w:t xml:space="preserve">Article 5. Frais</w:t>
      </w:r>
    </w:p>
    <w:p>
      <w:pPr>
        <w:jc w:val="both"/>
      </w:pPr>
      <w:r>
        <w:t xml:space="preserve">Des frais de déplacement estimés à </w:t>
        <w:t xml:space="preserve">180,00 €</w:t>
        <w:t xml:space="preserve"/>
        <w:t xml:space="preserve"> hors taxes sont prévus. Ils sont refacturés au réel, sur justificatifs.</w:t>
      </w:r>
    </w:p>
    <w:p>
      <w:pPr>
        <w:pStyle w:val="Heading1"/>
      </w:pPr>
      <w:r>
        <w:t xml:space="preserve">Article 6. Paiement</w:t>
      </w:r>
    </w:p>
    <w:p>
      <w:pPr>
        <w:jc w:val="both"/>
      </w:pPr>
      <w:r>
        <w:t xml:space="preserve">Un acompte de 30 % du montant toutes taxes comprises, soit </w:t>
      </w:r>
      <w:r>
        <w:rPr>
          <w:b/>
        </w:rPr>
        <w:t xml:space="preserve">1 944,00 €</w:t>
        <w:t xml:space="preserve"/>
      </w:r>
      <w:r>
        <w:t xml:space="preserve">, est versé à la signature de la présente convention.</w:t>
      </w:r>
    </w:p>
    <w:p>
      <w:pPr>
        <w:jc w:val="both"/>
      </w:pPr>
      <w:r>
        <w:t xml:space="preserve">Le solde est réglé par virement à réception de la facture, dans un délai de 30 jours.</w:t>
      </w:r>
    </w:p>
    <w:p>
      <w:pPr>
        <w:pStyle w:val="Heading1"/>
      </w:pPr>
      <w:r>
        <w:t xml:space="preserve">Article 7. Confidentialité</w:t>
      </w:r>
    </w:p>
    <w:p>
      <w:pPr>
        <w:jc w:val="both"/>
      </w:pPr>
      <w:r>
        <w:t xml:space="preserve">Chaque partie garde confidentielles les informations reçues de l’autre dans le cadre de l’étude, pendant toute sa durée et les trois années qui suivent.</w:t>
      </w:r>
    </w:p>
    <w:p>
      <w:pPr>
        <w:spacing w:before="240" w:after="240"/>
        <w:jc w:val="both"/>
      </w:pPr>
      <w:r>
        <w:t xml:space="preserve">Fait à </w:t>
        <w:t xml:space="preserve">Nantes</w:t>
        <w:t xml:space="preserve">, le </w:t>
        <w:t xml:space="preserve">28 septembre 2026</w:t>
        <w:t xml:space="preserve">, en </w:t>
        <w:t xml:space="preserve">deux (2)</w:t>
        <w:t xml:space="preserve"> exemplaires originaux.</w:t>
      </w:r>
    </w:p>
    <w:tbl>
      <w:tblPr>
        <w:tblW w:w="9638" w:type="dxa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Pour le Client</w:t>
            </w:r>
          </w:p>
          <w:p>
            <w:pPr>
              <w:spacing w:after="40"/>
            </w:pPr>
            <w:r>
              <w:t xml:space="preserve">Monsieur</w:t>
              <w:t xml:space="preserve"> </w:t>
              <w:t xml:space="preserve">Julien Marlin</w:t>
              <w:t xml:space="preserve"/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Pour la Junior-Entreprise</w:t>
            </w:r>
          </w:p>
          <w:p>
            <w:pPr>
              <w:spacing w:after="40"/>
            </w:pPr>
            <w:r>
              <w:t xml:space="preserve">Camille Moreau</w:t>
              <w:t xml:space="preserve">, président</w:t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</w:tr>
    </w:tbl>
    <w:sectPr>
      <w:headerReference w:type="default" r:id="rIdH"/>
      <w:footerReference w:type="default" r:id="rIdF"/>
      <w:pgSz w:w="11906" w:h="16838"/>
      <w:pgMar w:top="1418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Junior Conseil Nantes</w:t>
      <w:t xml:space="preserve">, association loi 1901, SIRET </w:t>
      <w:t xml:space="preserve">908 765 432 00017</w:t>
      <w:t xml:space="preserve">  ·  Page </w:t>
    </w:r>
    <w:fldSimple w:instr=" PAGE ">
      <w: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4" w:space="4" w:color="C9D2DE"/>
      </w:pBdr>
    </w:pPr>
    <w:r>
      <w:rPr>
        <w:b/>
      </w:rPr>
      <w:t xml:space="preserve">Junior Conseil Nantes</w:t>
      <w:t xml:space="preserve"/>
    </w:r>
    <w:r>
      <w:tab/>
      <w:t xml:space="preserve">Convention d’étude </w:t>
      <w:t xml:space="preserve">ETU-2026-039</w:t>
      <w:t xml:space="preserve"/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262626"/>
        <w:sz w:val="21"/>
        <w:szCs w:val="21"/>
        <w:lang w:val="fr-FR" w:eastAsia="en-US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240" w:after="60"/>
      <w:jc w:val="center"/>
    </w:pPr>
    <w:rPr>
      <w:b/>
      <w:caps/>
      <w:color w:val="1F3A5F"/>
      <w:spacing w:val="20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360"/>
      <w:jc w:val="center"/>
    </w:pPr>
    <w:rPr>
      <w:color w:val="5F6B7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C9D2DE"/>
      </w:pBdr>
      <w:spacing w:before="280" w:after="100"/>
      <w:outlineLvl w:val="0"/>
    </w:pPr>
    <w:rPr>
      <w:b/>
      <w:color w:val="1F3A5F"/>
      <w:sz w:val="23"/>
      <w:szCs w:val="23"/>
    </w:rPr>
  </w:style>
  <w:style w:type="paragraph" w:styleId="Header">
    <w:name w:val="header"/>
    <w:basedOn w:val="Normal"/>
    <w:pPr>
      <w:tabs>
        <w:tab w:val="right" w:pos="9638"/>
      </w:tabs>
      <w:spacing w:after="0"/>
    </w:pPr>
    <w:rPr>
      <w:color w:val="5F6B7A"/>
      <w:sz w:val="17"/>
      <w:szCs w:val="17"/>
    </w:rPr>
  </w:style>
  <w:style w:type="paragraph" w:styleId="Footer">
    <w:name w:val="footer"/>
    <w:basedOn w:val="Normal"/>
    <w:pPr>
      <w:jc w:val="center"/>
      <w:spacing w:after="0"/>
    </w:pPr>
    <w:rPr>
      <w:color w:val="5F6B7A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Convention d’étude</dc:title>
  <dc:creator>JuniorManage</dc:creator>
  <dc:language>fr-FR</dc:language>
</cp:coreProperties>
</file>