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Convention d’étude</w:t>
      </w:r>
    </w:p>
    <w:p>
      <w:pPr>
        <w:pStyle w:val="Subtitle"/>
      </w:pPr>
      <w:r>
        <w:t xml:space="preserve">{{titre_etude}}  ·  Référence {{reference}}</w:t>
      </w:r>
    </w:p>
    <w:p>
      <w:pPr>
        <w:pStyle w:val="Heading1"/>
      </w:pPr>
      <w:r>
        <w:t xml:space="preserve">Entre les soussignés</w:t>
      </w:r>
    </w:p>
    <w:p>
      <w:pPr>
        <w:jc w:val="both"/>
      </w:pPr>
      <w:r>
        <w:rPr>
          <w:b/>
        </w:rPr>
        <w:t xml:space="preserve">{{nom_client}}</w:t>
      </w:r>
      <w:r>
        <w:t xml:space="preserve">, dont le siège est situé {{adresse_client}}, SIRET {{siret_client}}, représentée par {{civilite_contact}} {{nom_contact}}, en qualité de {{fonction_contact}}, dûment habilité{{e_contact}}, ci-après dénommée « le Client »,</w:t>
      </w:r>
    </w:p>
    <w:p>
      <w:pPr>
        <w:jc w:val="both"/>
      </w:pPr>
      <w:r>
        <w:t xml:space="preserve">et</w:t>
      </w:r>
    </w:p>
    <w:p>
      <w:pPr>
        <w:jc w:val="both"/>
      </w:pPr>
      <w:r>
        <w:rPr>
          <w:b/>
        </w:rPr>
        <w:t xml:space="preserve">{{nom_je}}</w:t>
      </w:r>
      <w:r>
        <w:t xml:space="preserve">, association loi 1901 dont le siège est situé {{adresse_je}}, SIRET {{siret_je}}, représentée par son président, {{president}}, ci-après dénommée « la Junior-Entreprise ».</w:t>
      </w:r>
    </w:p>
    <w:p>
      <w:pPr>
        <w:pStyle w:val="Heading1"/>
      </w:pPr>
      <w:r>
        <w:t xml:space="preserve">Article 1. Objet de l’étude</w:t>
      </w:r>
    </w:p>
    <w:p>
      <w:pPr>
        <w:jc w:val="both"/>
      </w:pPr>
      <w:r>
        <w:t xml:space="preserve">Le Client confie à la Junior-Entreprise, qui l’accepte, la réalisation de l’étude « {{titre_etude}} ». Ses objectifs sont les suivants :</w:t>
      </w:r>
    </w:p>
    <w:p>
      <w:pPr>
        <w:ind w:left="360"/>
        <w:jc w:val="both"/>
      </w:pPr>
      <w:r>
        <w:rPr>
          <w:i/>
        </w:rPr>
        <w:t xml:space="preserve">{{objectifs}}</w:t>
      </w:r>
    </w:p>
    <w:p>
      <w:pPr>
        <w:pStyle w:val="Heading1"/>
      </w:pPr>
      <w:r>
        <w:t xml:space="preserve">Article 2. Livrables</w:t>
      </w:r>
    </w:p>
    <w:p>
      <w:pPr>
        <w:jc w:val="both"/>
      </w:pPr>
      <w:r>
        <w:t xml:space="preserve">{{livrables}}</w:t>
      </w:r>
    </w:p>
    <w:p>
      <w:pPr>
        <w:pStyle w:val="Heading1"/>
      </w:pPr>
      <w:r>
        <w:t xml:space="preserve">Article 3. Déroulement</w:t>
      </w:r>
    </w:p>
    <w:p>
      <w:pPr>
        <w:keepNext/>
        <w:jc w:val="both"/>
      </w:pPr>
      <w:r>
        <w:t xml:space="preserve">L’étude débute le {{date_debut}} et s’achève le {{date_fin}}, soit une durée de {{duree}} semaine{{s_duree}}. Elle se déroule selon les phases suivantes :</w:t>
      </w:r>
    </w:p>
    <w:tbl>
      <w:tblPr>
        <w:tblW w:w="9638" w:type="dxa"/>
        <w:tblBorders>
          <w:top w:val="single" w:sz="4" w:space="0" w:color="C9D2DE"/>
          <w:left w:val="single" w:sz="4" w:space="0" w:color="C9D2DE"/>
          <w:bottom w:val="single" w:sz="4" w:space="0" w:color="C9D2DE"/>
          <w:right w:val="single" w:sz="4" w:space="0" w:color="C9D2DE"/>
          <w:insideH w:val="single" w:sz="4" w:space="0" w:color="C9D2DE"/>
          <w:insideV w:val="single" w:sz="4" w:space="0" w:color="C9D2DE"/>
        </w:tblBorders>
        <w:tblLayout w:type="fixed"/>
        <w:tblCellMar>
          <w:left w:w="100" w:type="dxa"/>
          <w:right w:w="100" w:type="dxa"/>
        </w:tblCellMar>
      </w:tblPr>
      <w:tblGrid>
        <w:gridCol w:w="900"/>
        <w:gridCol w:w="5238"/>
        <w:gridCol w:w="1300"/>
        <w:gridCol w:w="2200"/>
      </w:tblGrid>
      <w:tr>
        <w:trPr>
          <w:tblHeader/>
          <w:cantSplit/>
        </w:trPr>
        <w:tc>
          <w:tcPr>
            <w:tcW w:w="900" w:type="dxa"/>
            <w:shd w:val="clear" w:color="auto" w:fill="1F3A5F"/>
            <w:vAlign w:val="center"/>
          </w:tcPr>
          <w:p>
            <w:pPr>
              <w:spacing w:before="60" w:after="60"/>
              <w:jc w:val="left"/>
            </w:pPr>
            <w:r>
              <w:rPr>
                <w:b/>
                <w:color w:val="FFFFFF"/>
              </w:rPr>
              <w:t xml:space="preserve">N°</w:t>
            </w:r>
          </w:p>
        </w:tc>
        <w:tc>
          <w:tcPr>
            <w:tcW w:w="5238" w:type="dxa"/>
            <w:shd w:val="clear" w:color="auto" w:fill="1F3A5F"/>
            <w:vAlign w:val="center"/>
          </w:tcPr>
          <w:p>
            <w:pPr>
              <w:spacing w:before="60" w:after="60"/>
              <w:jc w:val="left"/>
            </w:pPr>
            <w:r>
              <w:rPr>
                <w:b/>
                <w:color w:val="FFFFFF"/>
              </w:rPr>
              <w:t xml:space="preserve">Phase</w:t>
            </w:r>
          </w:p>
        </w:tc>
        <w:tc>
          <w:tcPr>
            <w:tcW w:w="1300" w:type="dxa"/>
            <w:shd w:val="clear" w:color="auto" w:fill="1F3A5F"/>
            <w:vAlign w:val="center"/>
          </w:tcPr>
          <w:p>
            <w:pPr>
              <w:spacing w:before="60" w:after="60"/>
              <w:jc w:val="right"/>
            </w:pPr>
            <w:r>
              <w:rPr>
                <w:b/>
                <w:color w:val="FFFFFF"/>
              </w:rPr>
              <w:t xml:space="preserve">JEH</w:t>
            </w:r>
          </w:p>
        </w:tc>
        <w:tc>
          <w:tcPr>
            <w:tcW w:w="2200" w:type="dxa"/>
            <w:shd w:val="clear" w:color="auto" w:fill="1F3A5F"/>
            <w:vAlign w:val="center"/>
          </w:tcPr>
          <w:p>
            <w:pPr>
              <w:spacing w:before="60" w:after="60"/>
              <w:jc w:val="right"/>
            </w:pPr>
            <w:r>
              <w:rPr>
                <w:b/>
                <w:color w:val="FFFFFF"/>
              </w:rPr>
              <w:t xml:space="preserve">Montant HT</w:t>
            </w:r>
          </w:p>
        </w:tc>
      </w:tr>
      <w:tr>
        <w:trPr>
          <w:cantSplit/>
        </w:trPr>
        <w:tc>
          <w:tcPr>
            <w:tcW w:w="900" w:type="dxa"/>
            <w:vAlign w:val="center"/>
          </w:tcPr>
          <w:p>
            <w:pPr>
              <w:spacing w:before="60" w:after="60"/>
              <w:jc w:val="left"/>
            </w:pPr>
            <w:r>
              <w:t xml:space="preserve">{{numero}}</w:t>
            </w:r>
          </w:p>
        </w:tc>
        <w:tc>
          <w:tcPr>
            <w:tcW w:w="5238" w:type="dxa"/>
            <w:vAlign w:val="center"/>
          </w:tcPr>
          <w:p>
            <w:pPr>
              <w:spacing w:before="60" w:after="60"/>
              <w:jc w:val="left"/>
            </w:pPr>
            <w:r>
              <w:t xml:space="preserve">{{#estSousPhase}}      </w:t>
            </w:r>
            <w:r>
              <w:rPr>
                <w:i/>
                <w:color w:val="5F6B7A"/>
              </w:rPr>
              <w:t xml:space="preserve">{{phase}}</w:t>
            </w:r>
            <w:r>
              <w:t xml:space="preserve">{{/estSousPhase}}{{#non_estSousPhase}}</w:t>
            </w:r>
            <w:r>
              <w:rPr>
                <w:b/>
              </w:rPr>
              <w:t xml:space="preserve">{{phase}}</w:t>
            </w:r>
            <w:r>
              <w:t xml:space="preserve">{{/non_estSousPhase}}</w:t>
            </w:r>
          </w:p>
        </w:tc>
        <w:tc>
          <w:tcPr>
            <w:tcW w:w="1300" w:type="dxa"/>
            <w:vAlign w:val="center"/>
          </w:tcPr>
          <w:p>
            <w:pPr>
              <w:spacing w:before="60" w:after="60"/>
              <w:jc w:val="right"/>
            </w:pPr>
            <w:r>
              <w:t xml:space="preserve">{{jeh}}</w:t>
            </w:r>
          </w:p>
        </w:tc>
        <w:tc>
          <w:tcPr>
            <w:tcW w:w="2200" w:type="dxa"/>
            <w:vAlign w:val="center"/>
          </w:tcPr>
          <w:p>
            <w:pPr>
              <w:spacing w:before="60" w:after="60"/>
              <w:jc w:val="right"/>
            </w:pPr>
            <w:r>
              <w:t xml:space="preserve">{{montant}}</w:t>
            </w:r>
          </w:p>
        </w:tc>
      </w:tr>
      <w:tr>
        <w:trPr>
          <w:cantSplit/>
        </w:trPr>
        <w:tc>
          <w:tcPr>
            <w:tcW w:w="900" w:type="dxa"/>
            <w:shd w:val="clear" w:color="auto" w:fill="EEF2F7"/>
            <w:vAlign w:val="center"/>
          </w:tcPr>
          <w:p>
            <w:pPr>
              <w:spacing w:before="60" w:after="60"/>
              <w:jc w:val="left"/>
            </w:pPr>
          </w:p>
        </w:tc>
        <w:tc>
          <w:tcPr>
            <w:tcW w:w="5238" w:type="dxa"/>
            <w:shd w:val="clear" w:color="auto" w:fill="EEF2F7"/>
            <w:vAlign w:val="center"/>
          </w:tcPr>
          <w:p>
            <w:pPr>
              <w:spacing w:before="60" w:after="60"/>
              <w:jc w:val="left"/>
            </w:pPr>
            <w:r>
              <w:rPr>
                <w:b/>
              </w:rPr>
              <w:t xml:space="preserve">Total</w:t>
            </w:r>
          </w:p>
        </w:tc>
        <w:tc>
          <w:tcPr>
            <w:tcW w:w="1300" w:type="dxa"/>
            <w:shd w:val="clear" w:color="auto" w:fill="EEF2F7"/>
            <w:vAlign w:val="center"/>
          </w:tcPr>
          <w:p>
            <w:pPr>
              <w:spacing w:before="60" w:after="60"/>
              <w:jc w:val="right"/>
            </w:pPr>
            <w:r>
              <w:rPr>
                <w:b/>
              </w:rPr>
              <w:t xml:space="preserve">{{total_jeh}}</w:t>
            </w:r>
          </w:p>
        </w:tc>
        <w:tc>
          <w:tcPr>
            <w:tcW w:w="2200" w:type="dxa"/>
            <w:shd w:val="clear" w:color="auto" w:fill="EEF2F7"/>
            <w:vAlign w:val="center"/>
          </w:tcPr>
          <w:p>
            <w:pPr>
              <w:spacing w:before="60" w:after="60"/>
              <w:jc w:val="right"/>
            </w:pPr>
            <w:r>
              <w:rPr>
                <w:b/>
              </w:rPr>
              <w:t xml:space="preserve">{{total_ht}}</w:t>
            </w:r>
          </w:p>
        </w:tc>
      </w:tr>
    </w:tbl>
    <w:p>
      <w:pPr>
        <w:spacing w:after="60"/>
      </w:pPr>
    </w:p>
    <w:p>
      <w:pPr>
        <w:jc w:val="both"/>
      </w:pPr>
      <w:r>
        <w:rPr>
          <w:color w:val="5F6B7A"/>
          <w:sz w:val="18"/>
          <w:szCs w:val="18"/>
        </w:rPr>
        <w:t xml:space="preserve">Le JEH (jour-étude homme) est l’unité de travail d’une étude. Une phase découpée en sous-phases indique leur total.</w:t>
      </w:r>
    </w:p>
    <w:p>
      <w:pPr>
        <w:pStyle w:val="Heading1"/>
      </w:pPr>
      <w:r>
        <w:t xml:space="preserve">Article 4. Prix</w:t>
      </w:r>
    </w:p>
    <w:p>
      <w:pPr>
        <w:jc w:val="both"/>
      </w:pPr>
      <w:r>
        <w:t xml:space="preserve">Le prix de l’étude est fixé à </w:t>
      </w:r>
      <w:r>
        <w:rPr>
          <w:b/>
        </w:rPr>
        <w:t xml:space="preserve">{{total_ht}}</w:t>
      </w:r>
      <w:r>
        <w:t xml:space="preserve"> hors taxes ({{total_ht_lettres}}). La TVA au taux de {{taux_tva}} s’y ajoute, soit </w:t>
      </w:r>
      <w:r>
        <w:rPr>
          <w:b/>
        </w:rPr>
        <w:t xml:space="preserve">{{total_ttc}}</w:t>
      </w:r>
      <w:r>
        <w:t xml:space="preserve"> toutes taxes comprises.</w:t>
      </w:r>
    </w:p>
    <w:p>
      <w:pPr>
        <w:pStyle w:val="Heading1"/>
      </w:pPr>
      <w:r>
        <w:t xml:space="preserve">Article 5. Frais</w:t>
      </w:r>
    </w:p>
    <w:p>
      <w:pPr>
        <w:jc w:val="both"/>
      </w:pPr>
      <w:r>
        <w:t xml:space="preserve">{{#si_frais}}Des frais de déplacement estimés à {{frais}} hors taxes sont prévus. Ils sont refacturés au réel, sur justificatifs.{{/si_frais}}{{#non_si_frais}}Aucun frais n’est prévu pour cette étude.{{/non_si_frais}}</w:t>
      </w:r>
    </w:p>
    <w:p>
      <w:pPr>
        <w:pStyle w:val="Heading1"/>
      </w:pPr>
      <w:r>
        <w:t xml:space="preserve">Article 6. Paiement</w:t>
      </w:r>
    </w:p>
    <w:p>
      <w:pPr>
        <w:jc w:val="both"/>
      </w:pPr>
      <w:r>
        <w:t xml:space="preserve">Un acompte de 30 % du montant toutes taxes comprises, soit </w:t>
      </w:r>
      <w:r>
        <w:rPr>
          <w:b/>
        </w:rPr>
        <w:t xml:space="preserve">{{acompte}}</w:t>
      </w:r>
      <w:r>
        <w:t xml:space="preserve">, est versé à la signature de la présente convention.</w:t>
      </w:r>
    </w:p>
    <w:p>
      <w:pPr>
        <w:jc w:val="both"/>
      </w:pPr>
      <w:r>
        <w:t xml:space="preserve">{{#client_public}}Le solde est réglé par mandat administratif, sur facture déposée sur la plateforme Chorus Pro, dans un délai de 30 jours.{{/client_public}}{{#non_client_public}}Le solde est réglé par virement à réception de la facture, dans un délai de 30 jours.{{/non_client_public}}</w:t>
      </w:r>
    </w:p>
    <w:p>
      <w:pPr>
        <w:pStyle w:val="Heading1"/>
      </w:pPr>
      <w:r>
        <w:t xml:space="preserve">Article 7. Confidentialité</w:t>
      </w:r>
    </w:p>
    <w:p>
      <w:pPr>
        <w:jc w:val="both"/>
      </w:pPr>
      <w:r>
        <w:t xml:space="preserve">Chaque partie garde confidentielles les informations reçues de l’autre dans le cadre de l’étude, pendant toute sa durée et les trois années qui suivent.</w:t>
      </w:r>
    </w:p>
    <w:p>
      <w:pPr>
        <w:spacing w:before="240" w:after="240"/>
        <w:jc w:val="both"/>
      </w:pPr>
      <w:r>
        <w:t xml:space="preserve">Fait à {{ville}}, le {{date}}, en {{exemplaires}} exemplaires originaux.</w:t>
      </w:r>
    </w:p>
    <w:tbl>
      <w:tblPr>
        <w:tblW w:w="9638" w:type="dxa"/>
        <w:tblLayout w:type="fixed"/>
      </w:tblPr>
      <w:tblGrid>
        <w:gridCol w:w="4819"/>
        <w:gridCol w:w="4819"/>
      </w:tblGrid>
      <w:tr>
        <w:trPr>
          <w:cantSplit/>
        </w:trPr>
        <w:tc>
          <w:tcPr>
            <w:tcW w:w="4819" w:type="dxa"/>
          </w:tcPr>
          <w:p>
            <w:pPr>
              <w:spacing w:after="40"/>
            </w:pPr>
            <w:r>
              <w:rPr>
                <w:b/>
              </w:rPr>
              <w:t xml:space="preserve">Pour le Client</w:t>
            </w:r>
          </w:p>
          <w:p>
            <w:pPr>
              <w:spacing w:after="40"/>
            </w:pPr>
            <w:r>
              <w:t xml:space="preserve">{{civilite_contact}} {{nom_contact}}</w:t>
            </w:r>
          </w:p>
          <w:p>
            <w:pPr>
              <w:spacing w:before="120"/>
            </w:pPr>
            <w:r>
              <w:rPr>
                <w:color w:val="5F6B7A"/>
              </w:rPr>
              <w:t xml:space="preserve">Signature :</w:t>
            </w:r>
          </w:p>
          <w:p/>
          <w:p/>
        </w:tc>
        <w:tc>
          <w:tcPr>
            <w:tcW w:w="4819" w:type="dxa"/>
          </w:tcPr>
          <w:p>
            <w:pPr>
              <w:spacing w:after="40"/>
            </w:pPr>
            <w:r>
              <w:rPr>
                <w:b/>
              </w:rPr>
              <w:t xml:space="preserve">Pour la Junior-Entreprise</w:t>
            </w:r>
          </w:p>
          <w:p>
            <w:pPr>
              <w:spacing w:after="40"/>
            </w:pPr>
            <w:r>
              <w:t xml:space="preserve">{{president}}, président</w:t>
            </w:r>
          </w:p>
          <w:p>
            <w:pPr>
              <w:spacing w:before="120"/>
            </w:pPr>
            <w:r>
              <w:rPr>
                <w:color w:val="5F6B7A"/>
              </w:rPr>
              <w:t xml:space="preserve">Signature :</w:t>
            </w:r>
          </w:p>
          <w:p/>
          <w:p/>
        </w:tc>
      </w:tr>
    </w:tbl>
    <w:sectPr>
      <w:headerReference w:type="default" r:id="rIdH"/>
      <w:footerReference w:type="default" r:id="rIdF"/>
      <w:pgSz w:w="11906" w:h="16838"/>
      <w:pgMar w:top="1418" w:right="1134" w:bottom="1134" w:left="1134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</w:pPr>
    <w:r>
      <w:t xml:space="preserve">{{nom_je}}, association loi 1901, SIRET {{siret_je}}  ·  Page </w:t>
    </w:r>
    <w:fldSimple w:instr=" PAGE ">
      <w:r>
        <w:t>1</w:t>
      </w:r>
    </w:fldSimple>
  </w:p>
</w:ftr>
</file>

<file path=word/header1.xml><?xml version="1.0" encoding="utf-8"?>
<w:hdr xmlns:w="http://schemas.openxmlformats.org/wordprocessingml/2006/main" xmlns:r="http://schemas.openxmlformats.org/officeDocument/2006/relationships">
  <w:p>
    <w:pPr>
      <w:pStyle w:val="Header"/>
      <w:pBdr>
        <w:bottom w:val="single" w:sz="4" w:space="4" w:color="C9D2DE"/>
      </w:pBdr>
    </w:pPr>
    <w:r>
      <w:rPr>
        <w:b/>
      </w:rPr>
      <w:t xml:space="preserve">{{nom_je}}</w:t>
    </w:r>
    <w:r>
      <w:tab/>
      <w:t xml:space="preserve">Convention d’étude {{reference}}</w:t>
    </w:r>
  </w:p>
</w:hdr>
</file>

<file path=word/settings.xml><?xml version="1.0" encoding="utf-8"?>
<w:settings xmlns:w="http://schemas.openxmlformats.org/wordprocessingml/2006/main" xmlns:r="http://schemas.openxmlformats.org/officeDocument/2006/relationships">
  <w:defaultTabStop w:val="708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hAnsi="Calibri" w:eastAsia="Calibri" w:cs="Calibri"/>
        <w:color w:val="262626"/>
        <w:sz w:val="21"/>
        <w:szCs w:val="21"/>
        <w:lang w:val="fr-FR" w:eastAsia="en-US" w:bidi="ar-SA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spacing w:before="240" w:after="60"/>
      <w:jc w:val="center"/>
    </w:pPr>
    <w:rPr>
      <w:b/>
      <w:caps/>
      <w:color w:val="1F3A5F"/>
      <w:spacing w:val="20"/>
      <w:sz w:val="40"/>
      <w:szCs w:val="40"/>
    </w:rPr>
  </w:style>
  <w:style w:type="paragraph" w:styleId="Subtitle">
    <w:name w:val="Subtitle"/>
    <w:basedOn w:val="Normal"/>
    <w:next w:val="Normal"/>
    <w:qFormat/>
    <w:pPr>
      <w:spacing w:after="360"/>
      <w:jc w:val="center"/>
    </w:pPr>
    <w:rPr>
      <w:color w:val="5F6B7A"/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pBdr>
        <w:bottom w:val="single" w:sz="6" w:space="2" w:color="C9D2DE"/>
      </w:pBdr>
      <w:spacing w:before="280" w:after="100"/>
      <w:outlineLvl w:val="0"/>
    </w:pPr>
    <w:rPr>
      <w:b/>
      <w:color w:val="1F3A5F"/>
      <w:sz w:val="23"/>
      <w:szCs w:val="23"/>
    </w:rPr>
  </w:style>
  <w:style w:type="paragraph" w:styleId="Header">
    <w:name w:val="header"/>
    <w:basedOn w:val="Normal"/>
    <w:pPr>
      <w:tabs>
        <w:tab w:val="right" w:pos="9638"/>
      </w:tabs>
      <w:spacing w:after="0"/>
    </w:pPr>
    <w:rPr>
      <w:color w:val="5F6B7A"/>
      <w:sz w:val="17"/>
      <w:szCs w:val="17"/>
    </w:rPr>
  </w:style>
  <w:style w:type="paragraph" w:styleId="Footer">
    <w:name w:val="footer"/>
    <w:basedOn w:val="Normal"/>
    <w:pPr>
      <w:jc w:val="center"/>
      <w:spacing w:after="0"/>
    </w:pPr>
    <w:rPr>
      <w:color w:val="5F6B7A"/>
      <w:sz w:val="16"/>
      <w:szCs w:val="16"/>
    </w:rPr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" Type="http://schemas.openxmlformats.org/officeDocument/2006/relationships/styles" Target="styles.xml"/><Relationship Id="rIdT" Type="http://schemas.openxmlformats.org/officeDocument/2006/relationships/settings" Target="settings.xml"/><Relationship Id="rIdH" Type="http://schemas.openxmlformats.org/officeDocument/2006/relationships/header" Target="header1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Convention d’étude</dc:title>
  <dc:creator>JuniorManage</dc:creator>
  <dc:language>fr-FR</dc:language>
</cp:coreProperties>
</file>