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Proposition d’intervention</w:t>
      </w:r>
    </w:p>
    <w:p>
      <w:pPr>
        <w:pStyle w:val="Subtitle"/>
      </w:pPr>
      <w:r>
        <w:t xml:space="preserve">Refonte du site vitrine</w:t>
        <w:t xml:space="preserve"/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</w:tblPr>
      <w:tblGrid>
        <w:gridCol w:w="2600"/>
        <w:gridCol w:w="7038"/>
      </w:tblGrid>
      <w:tr>
        <w:tc>
          <w:tcPr>
            <w:tcW w:w="2600" w:type="dxa"/>
            <w:shd w:val="clear" w:color="auto" w:fill="EEF2F7"/>
            <w:vAlign w:val="center"/>
          </w:tcPr>
          <w:p>
            <w:pPr>
              <w:spacing w:before="60" w:after="60"/>
            </w:pPr>
            <w:r>
              <w:rPr>
                <w:b/>
              </w:rPr>
              <w:t xml:space="preserve">Client</w:t>
            </w:r>
          </w:p>
        </w:tc>
        <w:tc>
          <w:tcPr>
            <w:tcW w:w="7038" w:type="dxa"/>
            <w:vAlign w:val="center"/>
          </w:tcPr>
          <w:p>
            <w:pPr>
              <w:spacing w:before="60" w:after="60"/>
            </w:pPr>
            <w:r>
              <w:t xml:space="preserve">Atelier Marlin</w:t>
              <w:t xml:space="preserve"/>
            </w:r>
          </w:p>
        </w:tc>
      </w:tr>
      <w:tr>
        <w:tc>
          <w:tcPr>
            <w:tcW w:w="2600" w:type="dxa"/>
            <w:shd w:val="clear" w:color="auto" w:fill="EEF2F7"/>
            <w:vAlign w:val="center"/>
          </w:tcPr>
          <w:p>
            <w:pPr>
              <w:spacing w:before="60" w:after="60"/>
            </w:pPr>
            <w:r>
              <w:rPr>
                <w:b/>
              </w:rPr>
              <w:t xml:space="preserve">Votre interlocuteur</w:t>
            </w:r>
          </w:p>
        </w:tc>
        <w:tc>
          <w:tcPr>
            <w:tcW w:w="7038" w:type="dxa"/>
            <w:vAlign w:val="center"/>
          </w:tcPr>
          <w:p>
            <w:pPr>
              <w:spacing w:before="60" w:after="60"/>
            </w:pPr>
            <w:r>
              <w:t xml:space="preserve">M.</w:t>
              <w:t xml:space="preserve"> </w:t>
              <w:t xml:space="preserve">Julien Marlin</w:t>
              <w:t xml:space="preserve"/>
            </w:r>
          </w:p>
        </w:tc>
      </w:tr>
      <w:tr>
        <w:tc>
          <w:tcPr>
            <w:tcW w:w="2600" w:type="dxa"/>
            <w:shd w:val="clear" w:color="auto" w:fill="EEF2F7"/>
            <w:vAlign w:val="center"/>
          </w:tcPr>
          <w:p>
            <w:pPr>
              <w:spacing w:before="60" w:after="60"/>
            </w:pPr>
            <w:r>
              <w:rPr>
                <w:b/>
              </w:rPr>
              <w:t xml:space="preserve">Chargé d’étude</w:t>
            </w:r>
          </w:p>
        </w:tc>
        <w:tc>
          <w:tcPr>
            <w:tcW w:w="7038" w:type="dxa"/>
            <w:vAlign w:val="center"/>
          </w:tcPr>
          <w:p>
            <w:pPr>
              <w:spacing w:before="60" w:after="60"/>
            </w:pPr>
            <w:r>
              <w:t xml:space="preserve">Hugo Martin</w:t>
              <w:t xml:space="preserve"> (</w:t>
              <w:t xml:space="preserve">hugo.martin@junior-conseil-nantes.fr</w:t>
              <w:t xml:space="preserve">)</w:t>
            </w:r>
          </w:p>
        </w:tc>
      </w:tr>
      <w:tr>
        <w:tc>
          <w:tcPr>
            <w:tcW w:w="2600" w:type="dxa"/>
            <w:shd w:val="clear" w:color="auto" w:fill="EEF2F7"/>
            <w:vAlign w:val="center"/>
          </w:tcPr>
          <w:p>
            <w:pPr>
              <w:spacing w:before="60" w:after="60"/>
            </w:pPr>
            <w:r>
              <w:rPr>
                <w:b/>
              </w:rPr>
              <w:t xml:space="preserve">Date</w:t>
            </w:r>
          </w:p>
        </w:tc>
        <w:tc>
          <w:tcPr>
            <w:tcW w:w="7038" w:type="dxa"/>
            <w:vAlign w:val="center"/>
          </w:tcPr>
          <w:p>
            <w:pPr>
              <w:spacing w:before="60" w:after="60"/>
            </w:pPr>
            <w:r>
              <w:t xml:space="preserve">15 septembre 2026</w:t>
              <w:t xml:space="preserve"/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1. Votre besoin</w:t>
      </w:r>
    </w:p>
    <w:p>
      <w:pPr>
        <w:jc w:val="both"/>
      </w:pPr>
      <w:r>
        <w:t xml:space="preserve">Atelier Marlin fabrique des meubles sur mesure à Saint-Nazaire. Son site actuel date de 2017 : il s’affiche mal sur téléphone et ne montre que la moitié des réalisations de l’atelier.</w:t>
        <w:t xml:space="preserve"/>
      </w:r>
    </w:p>
    <w:p>
      <w:pPr>
        <w:jc w:val="both"/>
      </w:pPr>
      <w:r>
        <w:rPr>
          <w:b/>
        </w:rPr>
        <w:t xml:space="preserve">La question posée :</w:t>
      </w:r>
      <w:r>
        <w:t xml:space="preserve"> </w:t>
        <w:t xml:space="preserve">Comment faire du site un outil qui apporte des demandes de devis, plutôt qu’une simple vitrine ?</w:t>
        <w:t xml:space="preserve"/>
      </w:r>
    </w:p>
    <w:p>
      <w:pPr>
        <w:pStyle w:val="Heading1"/>
      </w:pPr>
      <w:r>
        <w:t xml:space="preserve">2. Notre compréhension</w:t>
      </w:r>
    </w:p>
    <w:p>
      <w:pPr>
        <w:jc w:val="both"/>
      </w:pPr>
      <w:r>
        <w:t xml:space="preserve">Atelier Marlin veut un site qui travaille pour lui : chaque réalisation présentée doit pouvoir déclencher une demande de devis.</w:t>
        <w:br/>
        <w:t xml:space="preserve">Nous partirons de ce que disent ses clients (comment ils ont connu l’atelier, ce qu’ils cherchaient en ligne) pour organiser le site autour des projets plutôt que du catalogue.</w:t>
        <w:t xml:space="preserve"/>
      </w:r>
    </w:p>
    <w:p>
      <w:pPr>
        <w:pStyle w:val="Heading1"/>
      </w:pPr>
      <w:r>
        <w:t xml:space="preserve">3. Notre démarche</w:t>
      </w:r>
    </w:p>
    <w:p>
      <w:pPr>
        <w:keepNext/>
        <w:jc w:val="both"/>
      </w:pPr>
      <w:r>
        <w:t xml:space="preserve">L’étude se déroule en plusieurs phases :</w:t>
      </w:r>
    </w:p>
    <w:p>
      <w:pPr>
        <w:spacing w:after="60"/>
        <w:ind w:left="360" w:hanging="360"/>
      </w:pPr>
      <w:r>
        <w:t xml:space="preserve"/>
        <w:t xml:space="preserve"/>
      </w:r>
      <w:r>
        <w:t xml:space="preserve">•</w:t>
        <w:tab/>
      </w:r>
      <w:r>
        <w:rPr>
          <w:b/>
        </w:rPr>
        <w:t xml:space="preserve">Phase </w:t>
        <w:t xml:space="preserve">1</w:t>
        <w:t xml:space="preserve"/>
        <w:t xml:space="preserve"> : </w:t>
        <w:t xml:space="preserve">Ateliers UX</w:t>
        <w:t xml:space="preserve"/>
        <w:t xml:space="preserve">.</w:t>
      </w:r>
      <w:r>
        <w:t xml:space="preserve"> </w:t>
        <w:t xml:space="preserve">Entretiens avec cinq clients de l’atelier, puis atelier de co-conception de l’arborescence.</w:t>
        <w:t xml:space="preserve"/>
        <w:t xml:space="preserve"/>
      </w:r>
      <w:r>
        <w:t xml:space="preserve"/>
        <w:t xml:space="preserve"/>
      </w:r>
    </w:p>
    <w:p>
      <w:pPr>
        <w:spacing w:after="60"/>
        <w:ind w:left="360" w:hanging="360"/>
      </w:pPr>
      <w:r>
        <w:t xml:space="preserve"/>
        <w:t xml:space="preserve"/>
      </w:r>
      <w:r>
        <w:t xml:space="preserve">•</w:t>
        <w:tab/>
      </w:r>
      <w:r>
        <w:rPr>
          <w:b/>
        </w:rPr>
        <w:t xml:space="preserve">Phase </w:t>
        <w:t xml:space="preserve">2</w:t>
        <w:t xml:space="preserve"/>
        <w:t xml:space="preserve"> : </w:t>
        <w:t xml:space="preserve">Maquettes</w:t>
        <w:t xml:space="preserve"/>
        <w:t xml:space="preserve">.</w:t>
      </w:r>
      <w:r>
        <w:t xml:space="preserve"> </w:t>
        <w:t xml:space="preserve">Maquettes des six pages clés, en version ordinateur et téléphone.</w:t>
        <w:t xml:space="preserve"/>
        <w:t xml:space="preserve"/>
      </w:r>
      <w:r>
        <w:t xml:space="preserve"/>
        <w:t xml:space="preserve"/>
      </w:r>
    </w:p>
    <w:p>
      <w:pPr>
        <w:spacing w:after="60"/>
        <w:ind w:left="360" w:hanging="360"/>
      </w:pPr>
      <w:r>
        <w:t xml:space="preserve"/>
        <w:t xml:space="preserve"/>
      </w:r>
      <w:r>
        <w:t xml:space="preserve">•</w:t>
        <w:tab/>
      </w:r>
      <w:r>
        <w:rPr>
          <w:b/>
        </w:rPr>
        <w:t xml:space="preserve">Phase </w:t>
        <w:t xml:space="preserve">3</w:t>
        <w:t xml:space="preserve"/>
        <w:t xml:space="preserve"> : </w:t>
        <w:t xml:space="preserve">Intégration</w:t>
        <w:t xml:space="preserve"/>
        <w:t xml:space="preserve">.</w:t>
      </w:r>
      <w:r>
        <w:t xml:space="preserve"> </w:t>
        <w:t xml:space="preserve">Intégration sur WordPress, référencement de base et mise en ligne.</w:t>
        <w:t xml:space="preserve"/>
        <w:t xml:space="preserve"/>
      </w:r>
      <w:r>
        <w:t xml:space="preserve"/>
        <w:t xml:space="preserve"/>
      </w:r>
    </w:p>
    <w:p>
      <w:pPr>
        <w:pStyle w:val="Heading1"/>
      </w:pPr>
      <w:r>
        <w:t xml:space="preserve">4. Budget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  <w:tblCellMar>
          <w:left w:w="100" w:type="dxa"/>
          <w:right w:w="100" w:type="dxa"/>
        </w:tblCellMar>
      </w:tblPr>
      <w:tblGrid>
        <w:gridCol w:w="4038"/>
        <w:gridCol w:w="1300"/>
        <w:gridCol w:w="2000"/>
        <w:gridCol w:w="2300"/>
      </w:tblGrid>
      <w:tr>
        <w:trPr>
          <w:tblHeader/>
          <w:cantSplit/>
        </w:trPr>
        <w:tc>
          <w:tcPr>
            <w:tcW w:w="4038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Phase</w:t>
            </w:r>
          </w:p>
        </w:tc>
        <w:tc>
          <w:tcPr>
            <w:tcW w:w="13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JEH</w:t>
            </w:r>
          </w:p>
        </w:tc>
        <w:tc>
          <w:tcPr>
            <w:tcW w:w="20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Prix du JEH HT</w:t>
            </w:r>
          </w:p>
        </w:tc>
        <w:tc>
          <w:tcPr>
            <w:tcW w:w="23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Montant HT</w:t>
            </w:r>
          </w:p>
        </w:tc>
      </w:tr>
      <w:tr>
        <w:trPr>
          <w:cantSplit/>
        </w:trPr>
        <w:tc>
          <w:tcPr>
            <w:tcW w:w="40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Ateliers UX</w:t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3,00</w:t>
              <w:t xml:space="preserve"/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450,00 €</w:t>
              <w:t xml:space="preserve"/>
              <w:t xml:space="preserve"/>
            </w:r>
          </w:p>
        </w:tc>
        <w:tc>
          <w:tcPr>
            <w:tcW w:w="2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1 350,00 €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40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Maquettes</w:t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3,00</w:t>
              <w:t xml:space="preserve"/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450,00 €</w:t>
              <w:t xml:space="preserve"/>
              <w:t xml:space="preserve"/>
            </w:r>
          </w:p>
        </w:tc>
        <w:tc>
          <w:tcPr>
            <w:tcW w:w="2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1 350,00 €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40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Intégration</w:t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6,00</w:t>
              <w:t xml:space="preserve"/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450,00 €</w:t>
              <w:t xml:space="preserve"/>
              <w:t xml:space="preserve"/>
            </w:r>
          </w:p>
        </w:tc>
        <w:tc>
          <w:tcPr>
            <w:tcW w:w="2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2 700,00 €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4038" w:type="dxa"/>
            <w:shd w:val="clear" w:color="auto" w:fill="EEF2F7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Total hors taxes</w:t>
            </w:r>
          </w:p>
        </w:tc>
        <w:tc>
          <w:tcPr>
            <w:tcW w:w="13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12</w:t>
              <w:t xml:space="preserve"/>
            </w:r>
          </w:p>
        </w:tc>
        <w:tc>
          <w:tcPr>
            <w:tcW w:w="20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</w:p>
        </w:tc>
        <w:tc>
          <w:tcPr>
            <w:tcW w:w="23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5 400,00 €</w:t>
              <w:t xml:space="preserve"/>
            </w:r>
          </w:p>
        </w:tc>
      </w:tr>
    </w:tbl>
    <w:p>
      <w:pPr>
        <w:spacing w:after="60"/>
      </w:pPr>
    </w:p>
    <w:p>
      <w:pPr>
        <w:jc w:val="both"/>
      </w:pPr>
      <w:r>
        <w:t xml:space="preserve">Soit </w:t>
      </w:r>
      <w:r>
        <w:rPr>
          <w:b/>
        </w:rPr>
        <w:t xml:space="preserve">6 480,00 €</w:t>
        <w:t xml:space="preserve"/>
      </w:r>
      <w:r>
        <w:t xml:space="preserve"> toutes taxes comprises, avec une TVA à </w:t>
        <w:t xml:space="preserve">20 %</w:t>
        <w:t xml:space="preserve">.</w:t>
      </w:r>
    </w:p>
    <w:p>
      <w:pPr>
        <w:pStyle w:val="Heading1"/>
      </w:pPr>
      <w:r>
        <w:t xml:space="preserve">5. L’équipe pressentie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  <w:tblCellMar>
          <w:left w:w="100" w:type="dxa"/>
          <w:right w:w="100" w:type="dxa"/>
        </w:tblCellMar>
      </w:tblPr>
      <w:tblGrid>
        <w:gridCol w:w="3200"/>
        <w:gridCol w:w="3200"/>
        <w:gridCol w:w="3238"/>
      </w:tblGrid>
      <w:tr>
        <w:trPr>
          <w:tblHeader/>
          <w:cantSplit/>
        </w:trPr>
        <w:tc>
          <w:tcPr>
            <w:tcW w:w="3200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Intervenant</w:t>
            </w:r>
          </w:p>
        </w:tc>
        <w:tc>
          <w:tcPr>
            <w:tcW w:w="3200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Rôle</w:t>
            </w:r>
          </w:p>
        </w:tc>
        <w:tc>
          <w:tcPr>
            <w:tcW w:w="3238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Phase</w:t>
            </w:r>
          </w:p>
        </w:tc>
      </w:tr>
      <w:tr>
        <w:trPr>
          <w:cantSplit/>
        </w:trPr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Inès Rossi</w:t>
              <w:t xml:space="preserve"/>
              <w:t xml:space="preserve"/>
            </w:r>
          </w:p>
        </w:tc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Cheffe de projet UX</w:t>
              <w:t xml:space="preserve"/>
              <w:t xml:space="preserve"/>
            </w:r>
          </w:p>
        </w:tc>
        <w:tc>
          <w:tcPr>
            <w:tcW w:w="32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Ateliers UX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Inès Rossi</w:t>
              <w:t xml:space="preserve"/>
              <w:t xml:space="preserve"/>
            </w:r>
          </w:p>
        </w:tc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Designer</w:t>
              <w:t xml:space="preserve"/>
              <w:t xml:space="preserve"/>
            </w:r>
          </w:p>
        </w:tc>
        <w:tc>
          <w:tcPr>
            <w:tcW w:w="32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Maquettes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Louis Bernard</w:t>
              <w:t xml:space="preserve"/>
              <w:t xml:space="preserve"/>
            </w:r>
          </w:p>
        </w:tc>
        <w:tc>
          <w:tcPr>
            <w:tcW w:w="32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Développeur web</w:t>
              <w:t xml:space="preserve"/>
              <w:t xml:space="preserve"/>
            </w:r>
          </w:p>
        </w:tc>
        <w:tc>
          <w:tcPr>
            <w:tcW w:w="32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Intégration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6. Validité</w:t>
      </w:r>
    </w:p>
    <w:p>
      <w:pPr>
        <w:jc w:val="both"/>
      </w:pPr>
      <w:r>
        <w:t xml:space="preserve">Cette proposition est valable </w:t>
        <w:t xml:space="preserve">trente (30)</w:t>
        <w:t xml:space="preserve"> jours à compter du </w:t>
        <w:t xml:space="preserve">15 septembre 2026</w:t>
        <w:t xml:space="preserve">. Pour toute question, votre interlocuteur est </w:t>
        <w:t xml:space="preserve">Hugo Martin</w:t>
        <w:t xml:space="preserve">.</w:t>
      </w:r>
    </w:p>
    <w:sectPr>
      <w:headerReference w:type="default" r:id="rIdH"/>
      <w:footerReference w:type="default" r:id="rIdF"/>
      <w:pgSz w:w="11906" w:h="16838"/>
      <w:pgMar w:top="1418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Junior Conseil Nantes</w:t>
      <w:t xml:space="preserve">  ·  </w:t>
      <w:t xml:space="preserve">contact@junior-conseil-nantes.fr</w:t>
      <w:t xml:space="preserve">  ·  Page </w:t>
    </w: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C9D2DE"/>
      </w:pBdr>
    </w:pPr>
    <w:r>
      <w:rPr>
        <w:b/>
      </w:rPr>
      <w:t xml:space="preserve">Junior Conseil Nantes</w:t>
      <w:t xml:space="preserve"/>
    </w:r>
    <w:r>
      <w:tab/>
      <w:t xml:space="preserve">Proposition </w:t>
      <w:t xml:space="preserve">ETU-2026-039</w:t>
      <w:t xml:space="preserve"/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262626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caps/>
      <w:color w:val="1F3A5F"/>
      <w:spacing w:val="20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color w:val="5F6B7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C9D2DE"/>
      </w:pBdr>
      <w:spacing w:before="280" w:after="100"/>
      <w:outlineLvl w:val="0"/>
    </w:pPr>
    <w:rPr>
      <w:b/>
      <w:color w:val="1F3A5F"/>
      <w:sz w:val="23"/>
      <w:szCs w:val="23"/>
    </w:rPr>
  </w:style>
  <w:style w:type="paragraph" w:styleId="Header">
    <w:name w:val="header"/>
    <w:basedOn w:val="Normal"/>
    <w:pPr>
      <w:tabs>
        <w:tab w:val="right" w:pos="9638"/>
      </w:tabs>
      <w:spacing w:after="0"/>
    </w:pPr>
    <w:rPr>
      <w:color w:val="5F6B7A"/>
      <w:sz w:val="17"/>
      <w:szCs w:val="17"/>
    </w:rPr>
  </w:style>
  <w:style w:type="paragraph" w:styleId="Footer">
    <w:name w:val="footer"/>
    <w:basedOn w:val="Normal"/>
    <w:pPr>
      <w:jc w:val="center"/>
      <w:spacing w:after="0"/>
    </w:pPr>
    <w:rPr>
      <w:color w:val="5F6B7A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Proposition commerciale</dc:title>
  <dc:creator>JuniorManage</dc:creator>
  <dc:language>fr-FR</dc:language>
</cp:coreProperties>
</file>